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B3" w:rsidRDefault="00DC68B3">
      <w:pPr>
        <w:spacing w:line="800" w:lineRule="exact"/>
        <w:jc w:val="left"/>
        <w:rPr>
          <w:rFonts w:ascii="黑体" w:eastAsia="黑体" w:hAnsi="黑体" w:cs="黑体"/>
          <w:sz w:val="32"/>
          <w:szCs w:val="32"/>
        </w:rPr>
      </w:pPr>
      <w:r>
        <w:rPr>
          <w:rFonts w:ascii="黑体" w:eastAsia="黑体" w:hAnsi="黑体" w:cs="黑体" w:hint="eastAsia"/>
          <w:sz w:val="32"/>
          <w:szCs w:val="32"/>
        </w:rPr>
        <w:t>附件二：</w:t>
      </w:r>
    </w:p>
    <w:p w:rsidR="00DC68B3" w:rsidRDefault="00DC68B3">
      <w:pPr>
        <w:spacing w:line="8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长春市管道天然气上下游价格联动机制</w:t>
      </w:r>
    </w:p>
    <w:p w:rsidR="00DC68B3" w:rsidRDefault="00DC68B3">
      <w:pPr>
        <w:pStyle w:val="Footer"/>
        <w:spacing w:line="800" w:lineRule="exact"/>
        <w:jc w:val="center"/>
        <w:rPr>
          <w:rFonts w:ascii="楷体" w:eastAsia="楷体" w:hAnsi="楷体" w:cs="楷体"/>
          <w:sz w:val="32"/>
          <w:szCs w:val="32"/>
        </w:rPr>
      </w:pPr>
      <w:r>
        <w:rPr>
          <w:rFonts w:ascii="楷体" w:eastAsia="楷体" w:hAnsi="楷体" w:cs="楷体" w:hint="eastAsia"/>
          <w:sz w:val="32"/>
          <w:szCs w:val="32"/>
        </w:rPr>
        <w:t>（征求意见稿）</w:t>
      </w:r>
    </w:p>
    <w:p w:rsidR="00DC68B3" w:rsidRDefault="00DC68B3" w:rsidP="00F86A14">
      <w:pPr>
        <w:adjustRightInd w:val="0"/>
        <w:snapToGrid w:val="0"/>
        <w:spacing w:line="560" w:lineRule="exact"/>
        <w:ind w:firstLineChars="200" w:firstLine="31680"/>
        <w:jc w:val="left"/>
        <w:rPr>
          <w:rFonts w:ascii="仿宋_GB2312" w:eastAsia="仿宋_GB2312" w:hAnsi="仿宋_GB2312" w:cs="仿宋_GB2312"/>
          <w:sz w:val="32"/>
          <w:szCs w:val="32"/>
        </w:rPr>
      </w:pP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为深入贯彻国家、省天然气价格改革要求，结合我市实际，特制定本联动机制。</w:t>
      </w:r>
    </w:p>
    <w:p w:rsidR="00DC68B3" w:rsidRDefault="00DC68B3" w:rsidP="00F86A14">
      <w:pPr>
        <w:numPr>
          <w:ilvl w:val="0"/>
          <w:numId w:val="1"/>
        </w:num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适用范围</w:t>
      </w: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本通知适用于我市市区范围内（不含双阳区和九台区）居民和非居民用气终端销售价格与燃气企业采购价格的联动。</w:t>
      </w:r>
    </w:p>
    <w:p w:rsidR="00DC68B3" w:rsidRDefault="00DC68B3" w:rsidP="00F86A14">
      <w:pPr>
        <w:numPr>
          <w:ilvl w:val="0"/>
          <w:numId w:val="1"/>
        </w:num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联动周期</w:t>
      </w: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居民端价格联动周期为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年，非居民端价格按冬季（</w:t>
      </w:r>
      <w:smartTag w:uri="urn:schemas-microsoft-com:office:smarttags" w:element="chsdate">
        <w:smartTagPr>
          <w:attr w:name="IsROCDate" w:val="False"/>
          <w:attr w:name="IsLunarDate" w:val="False"/>
          <w:attr w:name="Day" w:val="1"/>
          <w:attr w:name="Month" w:val="11"/>
          <w:attr w:name="Year" w:val="2024"/>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smartTag>
      <w:r>
        <w:rPr>
          <w:rFonts w:ascii="仿宋_GB2312" w:eastAsia="仿宋_GB2312" w:hAnsi="仿宋_GB2312" w:cs="仿宋_GB2312"/>
          <w:sz w:val="32"/>
          <w:szCs w:val="32"/>
        </w:rPr>
        <w:t>-</w:t>
      </w:r>
      <w:r>
        <w:rPr>
          <w:rFonts w:ascii="仿宋_GB2312" w:eastAsia="仿宋_GB2312" w:hAnsi="仿宋_GB2312" w:cs="仿宋_GB2312" w:hint="eastAsia"/>
          <w:sz w:val="32"/>
          <w:szCs w:val="32"/>
        </w:rPr>
        <w:t>次年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日）、夏季（</w:t>
      </w:r>
      <w:smartTag w:uri="urn:schemas-microsoft-com:office:smarttags" w:element="chsdate">
        <w:smartTagPr>
          <w:attr w:name="IsROCDate" w:val="False"/>
          <w:attr w:name="IsLunarDate" w:val="False"/>
          <w:attr w:name="Day" w:val="1"/>
          <w:attr w:name="Month" w:val="4"/>
          <w:attr w:name="Year" w:val="2024"/>
        </w:smartTag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smartTag>
      <w:r>
        <w:rPr>
          <w:rFonts w:ascii="仿宋_GB2312" w:eastAsia="仿宋_GB2312" w:hAnsi="仿宋_GB2312" w:cs="仿宋_GB2312"/>
          <w:sz w:val="32"/>
          <w:szCs w:val="32"/>
        </w:rPr>
        <w:t>-</w:t>
      </w:r>
      <w:smartTag w:uri="urn:schemas-microsoft-com:office:smarttags" w:element="chsdate">
        <w:smartTagPr>
          <w:attr w:name="IsROCDate" w:val="False"/>
          <w:attr w:name="IsLunarDate" w:val="False"/>
          <w:attr w:name="Day" w:val="31"/>
          <w:attr w:name="Month" w:val="10"/>
          <w:attr w:name="Year" w:val="2024"/>
        </w:smartTag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）联动。</w:t>
      </w:r>
    </w:p>
    <w:p w:rsidR="00DC68B3" w:rsidRDefault="00DC68B3" w:rsidP="00F86A14">
      <w:pPr>
        <w:numPr>
          <w:ilvl w:val="0"/>
          <w:numId w:val="1"/>
        </w:num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启动条件</w:t>
      </w: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当燃气企业采购价格累计超过±</w:t>
      </w:r>
      <w:r>
        <w:rPr>
          <w:rFonts w:ascii="仿宋_GB2312" w:eastAsia="仿宋_GB2312" w:hAnsi="仿宋_GB2312" w:cs="仿宋_GB2312"/>
          <w:sz w:val="32"/>
          <w:szCs w:val="32"/>
        </w:rPr>
        <w:t>0.10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/m</w:t>
      </w:r>
      <w:r>
        <w:rPr>
          <w:rFonts w:ascii="宋体" w:hAnsi="宋体" w:cs="宋体" w:hint="eastAsia"/>
          <w:sz w:val="32"/>
          <w:szCs w:val="32"/>
        </w:rPr>
        <w:t>³</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启动联动调价机制。累计未达到±</w:t>
      </w:r>
      <w:r>
        <w:rPr>
          <w:rFonts w:ascii="仿宋_GB2312" w:eastAsia="仿宋_GB2312" w:hAnsi="仿宋_GB2312" w:cs="仿宋_GB2312"/>
          <w:sz w:val="32"/>
          <w:szCs w:val="32"/>
        </w:rPr>
        <w:t>0.10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/m</w:t>
      </w:r>
      <w:r>
        <w:rPr>
          <w:rFonts w:ascii="宋体" w:hAnsi="宋体" w:cs="宋体" w:hint="eastAsia"/>
          <w:sz w:val="32"/>
          <w:szCs w:val="32"/>
        </w:rPr>
        <w:t>³</w:t>
      </w:r>
      <w:r>
        <w:rPr>
          <w:rFonts w:ascii="仿宋_GB2312" w:eastAsia="仿宋_GB2312" w:hAnsi="仿宋_GB2312" w:cs="仿宋_GB2312" w:hint="eastAsia"/>
          <w:sz w:val="32"/>
          <w:szCs w:val="32"/>
        </w:rPr>
        <w:t>时，不作调整，顺延到下一周期疏导。其中，采购价格是指燃气企业采购全部气源加权平均价格。</w:t>
      </w:r>
    </w:p>
    <w:p w:rsidR="00DC68B3" w:rsidRDefault="00DC68B3" w:rsidP="00F86A14">
      <w:pPr>
        <w:numPr>
          <w:ilvl w:val="0"/>
          <w:numId w:val="1"/>
        </w:num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调整原则</w:t>
      </w: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居民用气终端销售价格遵循“上调设置幅度限制，下调不设幅度限制”的原则，上调时每次不超过</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/m</w:t>
      </w:r>
      <w:r>
        <w:rPr>
          <w:rFonts w:ascii="宋体" w:hAnsi="宋体" w:cs="宋体" w:hint="eastAsia"/>
          <w:sz w:val="32"/>
          <w:szCs w:val="32"/>
        </w:rPr>
        <w:t>³</w:t>
      </w:r>
      <w:r>
        <w:rPr>
          <w:rFonts w:ascii="仿宋_GB2312" w:eastAsia="仿宋_GB2312" w:hAnsi="仿宋_GB2312" w:cs="仿宋_GB2312" w:hint="eastAsia"/>
          <w:sz w:val="32"/>
          <w:szCs w:val="32"/>
        </w:rPr>
        <w:t>，超出部分（以下称“上期应调未调金额”）在下个联动周期予以疏导；下调不设限制。非居民用气终端销售价格不设幅度限制。</w:t>
      </w:r>
    </w:p>
    <w:p w:rsidR="00DC68B3" w:rsidRDefault="00DC68B3" w:rsidP="00F86A14">
      <w:p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五、销售价格</w:t>
      </w: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首次建立联动机制时，终端销售价格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上年度采购价格（含运输费用和税费）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配气价格。配气价格按照“准许成本加合理收益”的原则确定。</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建立联动机制后，终端销售价格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上期终端销售价格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联动价格。其中，联动价格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（本期采购价格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上期采购价格）÷（</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供销差率）±上期应调未调金额（“</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”是指无损耗状态下供应总量与销售总量之间的比率。供销差率是指</w:t>
      </w:r>
      <w:r>
        <w:rPr>
          <w:rFonts w:ascii="仿宋_GB2312" w:eastAsia="仿宋_GB2312" w:hAnsi="仿宋_GB2312" w:cs="仿宋_GB2312"/>
          <w:sz w:val="32"/>
          <w:szCs w:val="32"/>
        </w:rPr>
        <w:t>‌</w:t>
      </w:r>
      <w:hyperlink r:id="rId7" w:tgtFrame="https://answer.baidu.com/answer/_self" w:history="1">
        <w:r>
          <w:rPr>
            <w:rFonts w:ascii="仿宋_GB2312" w:eastAsia="仿宋_GB2312" w:hAnsi="仿宋_GB2312" w:cs="仿宋_GB2312" w:hint="eastAsia"/>
            <w:sz w:val="32"/>
            <w:szCs w:val="32"/>
          </w:rPr>
          <w:t>供应总量</w:t>
        </w:r>
      </w:hyperlink>
      <w:r>
        <w:rPr>
          <w:rFonts w:ascii="仿宋_GB2312" w:eastAsia="仿宋_GB2312" w:hAnsi="仿宋_GB2312" w:cs="仿宋_GB2312" w:hint="eastAsia"/>
          <w:sz w:val="32"/>
          <w:szCs w:val="32"/>
        </w:rPr>
        <w:t>与</w:t>
      </w:r>
      <w:r>
        <w:rPr>
          <w:rFonts w:ascii="仿宋_GB2312" w:eastAsia="仿宋_GB2312" w:hAnsi="仿宋_GB2312" w:cs="仿宋_GB2312"/>
          <w:sz w:val="32"/>
          <w:szCs w:val="32"/>
        </w:rPr>
        <w:t>‌</w:t>
      </w:r>
      <w:hyperlink r:id="rId8" w:tgtFrame="https://answer.baidu.com/answer/_self" w:history="1">
        <w:r>
          <w:rPr>
            <w:rFonts w:ascii="仿宋_GB2312" w:eastAsia="仿宋_GB2312" w:hAnsi="仿宋_GB2312" w:cs="仿宋_GB2312" w:hint="eastAsia"/>
            <w:sz w:val="32"/>
            <w:szCs w:val="32"/>
          </w:rPr>
          <w:t>销售总量</w:t>
        </w:r>
      </w:hyperlink>
      <w:r>
        <w:rPr>
          <w:rFonts w:ascii="仿宋_GB2312" w:eastAsia="仿宋_GB2312" w:hAnsi="仿宋_GB2312" w:cs="仿宋_GB2312" w:hint="eastAsia"/>
          <w:sz w:val="32"/>
          <w:szCs w:val="32"/>
        </w:rPr>
        <w:t>之间的差额与供应总量的比率。供销差率不超过</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，低于</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的按实际确定）。</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终端销售价格随采购价格定期变动，不能只涨不降。配气价格上涨或下降时终端销售价格相应调整的，不受联动机制限制。</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黑体" w:eastAsia="黑体" w:hAnsi="黑体" w:cs="黑体"/>
          <w:sz w:val="32"/>
          <w:szCs w:val="32"/>
        </w:rPr>
      </w:pPr>
      <w:r>
        <w:rPr>
          <w:rFonts w:ascii="黑体" w:eastAsia="黑体" w:hAnsi="黑体" w:cs="黑体" w:hint="eastAsia"/>
          <w:sz w:val="32"/>
          <w:szCs w:val="32"/>
        </w:rPr>
        <w:t>六、启动程序</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市价格主管部门可依据燃气企业申请启动联动机制，也可依据采购价格变化情况直接启动联动机制。确定启动的，市价格主管部门按上述标准确定终端销售价</w:t>
      </w:r>
      <w:r>
        <w:rPr>
          <w:rFonts w:ascii="仿宋_GB2312" w:eastAsia="仿宋_GB2312" w:hAnsi="仿宋_GB2312" w:cs="仿宋_GB2312" w:hint="eastAsia"/>
          <w:kern w:val="2"/>
          <w:sz w:val="32"/>
          <w:szCs w:val="32"/>
        </w:rPr>
        <w:t>格，不再开展定价听证程序，报经市政府同意后</w:t>
      </w:r>
      <w:r>
        <w:rPr>
          <w:rFonts w:ascii="仿宋_GB2312" w:eastAsia="仿宋_GB2312" w:hAnsi="仿宋_GB2312" w:cs="仿宋_GB2312" w:hint="eastAsia"/>
          <w:sz w:val="32"/>
          <w:szCs w:val="32"/>
        </w:rPr>
        <w:t>并公布实施。</w:t>
      </w: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当终端销售价格持续大幅上涨影响居民生活和经济平稳运行时，市价格主管部门报经市政府同意后可暂时中止启动联动机制。</w:t>
      </w:r>
    </w:p>
    <w:p w:rsidR="00DC68B3" w:rsidRDefault="00DC68B3" w:rsidP="00F86A1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居民终端销售价格联动后，现行阶梯气量、阶梯价差等政策仍保持不变。</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黑体" w:eastAsia="黑体" w:hAnsi="黑体" w:cs="黑体"/>
          <w:sz w:val="32"/>
          <w:szCs w:val="32"/>
        </w:rPr>
      </w:pPr>
      <w:r>
        <w:rPr>
          <w:rFonts w:ascii="黑体" w:eastAsia="黑体" w:hAnsi="黑体" w:cs="黑体" w:hint="eastAsia"/>
          <w:sz w:val="32"/>
          <w:szCs w:val="32"/>
        </w:rPr>
        <w:t>七、有关要求</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市价格主管部门、市市场监督管理部门应当建立天然气价格监督管理机制，依法查处天然气价格违法行为。</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燃气经营企业应当按有关要求，在企业门户网站、营业场所或者价格主管部门指定的平台上公开采购气源、采购数量、采购价格等相关信息，在遇大修理或成本发生重大变化时，需上报价格主管部门，同时企业要加强管理降低成本并接受社会监督。</w:t>
      </w:r>
    </w:p>
    <w:p w:rsidR="00DC68B3" w:rsidRDefault="00DC68B3" w:rsidP="00F86A14">
      <w:p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八、执行时间</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本通知自</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日起施行。</w:t>
      </w:r>
      <w:smartTag w:uri="urn:schemas-microsoft-com:office:smarttags" w:element="chsdate">
        <w:smartTagPr>
          <w:attr w:name="IsROCDate" w:val="False"/>
          <w:attr w:name="IsLunarDate" w:val="False"/>
          <w:attr w:name="Day" w:val="28"/>
          <w:attr w:name="Month" w:val="5"/>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bookmarkStart w:id="0" w:name="_GoBack"/>
        <w:bookmarkEnd w:id="0"/>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印发的《长春市发展和改革委员会关于实施非居民天然气价格联动机制的通知》（长发改价格</w:t>
      </w:r>
      <w:r>
        <w:rPr>
          <w:rFonts w:ascii="仿宋" w:eastAsia="仿宋" w:hAnsi="仿宋" w:cs="仿宋" w:hint="eastAsia"/>
          <w:sz w:val="32"/>
          <w:szCs w:val="32"/>
        </w:rPr>
        <w:t>〔</w:t>
      </w:r>
      <w:r>
        <w:rPr>
          <w:rFonts w:ascii="仿宋_GB2312" w:eastAsia="仿宋_GB2312" w:hAnsi="仿宋_GB2312" w:cs="仿宋_GB2312"/>
          <w:sz w:val="32"/>
          <w:szCs w:val="32"/>
        </w:rPr>
        <w:t>2021</w:t>
      </w:r>
      <w:r>
        <w:rPr>
          <w:rFonts w:ascii="仿宋" w:eastAsia="仿宋" w:hAnsi="仿宋" w:cs="仿宋" w:hint="eastAsia"/>
          <w:sz w:val="32"/>
          <w:szCs w:val="32"/>
        </w:rPr>
        <w:t>〕</w:t>
      </w:r>
      <w:r>
        <w:rPr>
          <w:rFonts w:ascii="仿宋_GB2312" w:eastAsia="仿宋_GB2312" w:hAnsi="仿宋_GB2312" w:cs="仿宋_GB2312"/>
          <w:sz w:val="32"/>
          <w:szCs w:val="32"/>
        </w:rPr>
        <w:t>165</w:t>
      </w:r>
      <w:r>
        <w:rPr>
          <w:rFonts w:ascii="仿宋_GB2312" w:eastAsia="仿宋_GB2312" w:hAnsi="仿宋_GB2312" w:cs="仿宋_GB2312" w:hint="eastAsia"/>
          <w:sz w:val="32"/>
          <w:szCs w:val="32"/>
        </w:rPr>
        <w:t>号）同时废止。</w:t>
      </w:r>
    </w:p>
    <w:p w:rsidR="00DC68B3" w:rsidRDefault="00DC68B3" w:rsidP="00F86A14">
      <w:pPr>
        <w:pStyle w:val="NormalWeb"/>
        <w:shd w:val="clear" w:color="auto" w:fill="FFFFFF"/>
        <w:adjustRightInd w:val="0"/>
        <w:snapToGrid w:val="0"/>
        <w:spacing w:before="0" w:beforeAutospacing="0" w:after="0" w:afterAutospacing="0" w:line="560" w:lineRule="exact"/>
        <w:ind w:firstLineChars="200" w:firstLine="31680"/>
        <w:rPr>
          <w:rFonts w:ascii="仿宋_GB2312" w:eastAsia="仿宋_GB2312" w:hAnsi="仿宋_GB2312" w:cs="仿宋_GB2312"/>
          <w:sz w:val="32"/>
          <w:szCs w:val="32"/>
        </w:rPr>
      </w:pPr>
    </w:p>
    <w:p w:rsidR="00DC68B3" w:rsidRDefault="00DC68B3" w:rsidP="00F86A14">
      <w:pPr>
        <w:pStyle w:val="NormalWeb"/>
        <w:shd w:val="clear" w:color="auto" w:fill="FFFFFF"/>
        <w:spacing w:line="560" w:lineRule="exact"/>
        <w:ind w:firstLineChars="1400" w:firstLine="31680"/>
        <w:rPr>
          <w:rFonts w:ascii="仿宋_GB2312" w:eastAsia="仿宋_GB2312" w:hAnsi="仿宋_GB2312" w:cs="仿宋_GB2312"/>
          <w:sz w:val="32"/>
          <w:szCs w:val="32"/>
        </w:rPr>
      </w:pP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w:t>
      </w:r>
    </w:p>
    <w:p w:rsidR="00DC68B3" w:rsidRDefault="00DC68B3"/>
    <w:sectPr w:rsidR="00DC68B3" w:rsidSect="00365FB6">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B3" w:rsidRDefault="00DC68B3" w:rsidP="00365FB6">
      <w:r>
        <w:separator/>
      </w:r>
    </w:p>
  </w:endnote>
  <w:endnote w:type="continuationSeparator" w:id="0">
    <w:p w:rsidR="00DC68B3" w:rsidRDefault="00DC68B3" w:rsidP="0036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B3" w:rsidRDefault="00DC68B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C68B3" w:rsidRDefault="00DC68B3">
                <w:pPr>
                  <w:pStyle w:val="Footer"/>
                </w:pPr>
                <w:r>
                  <w:t xml:space="preserve">— </w:t>
                </w:r>
                <w:fldSimple w:instr=" PAGE  \* MERGEFORMAT ">
                  <w:r>
                    <w:rPr>
                      <w:noProof/>
                    </w:rPr>
                    <w:t>2</w:t>
                  </w:r>
                </w:fldSimple>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B3" w:rsidRDefault="00DC68B3" w:rsidP="00365FB6">
      <w:r>
        <w:separator/>
      </w:r>
    </w:p>
  </w:footnote>
  <w:footnote w:type="continuationSeparator" w:id="0">
    <w:p w:rsidR="00DC68B3" w:rsidRDefault="00DC68B3" w:rsidP="00365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EE796C"/>
    <w:multiLevelType w:val="singleLevel"/>
    <w:tmpl w:val="FDEE796C"/>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I1MzhiZWRiODdlNWMwZjAzZTdhNTlmMDlhYTIyMDgifQ=="/>
  </w:docVars>
  <w:rsids>
    <w:rsidRoot w:val="00365FB6"/>
    <w:rsid w:val="BFABD507"/>
    <w:rsid w:val="BFFA3185"/>
    <w:rsid w:val="CFF5941D"/>
    <w:rsid w:val="D2DDB46C"/>
    <w:rsid w:val="E75DD022"/>
    <w:rsid w:val="F5F7F9C1"/>
    <w:rsid w:val="F67BF443"/>
    <w:rsid w:val="F7F4AE03"/>
    <w:rsid w:val="FBF4E233"/>
    <w:rsid w:val="FBF71826"/>
    <w:rsid w:val="FE5F0E05"/>
    <w:rsid w:val="FFEB70CA"/>
    <w:rsid w:val="002305C7"/>
    <w:rsid w:val="00365FB6"/>
    <w:rsid w:val="00496B02"/>
    <w:rsid w:val="00BA69F4"/>
    <w:rsid w:val="00DC68B3"/>
    <w:rsid w:val="00F50986"/>
    <w:rsid w:val="00F86A14"/>
    <w:rsid w:val="017D5380"/>
    <w:rsid w:val="01AB4BCB"/>
    <w:rsid w:val="01BB5A85"/>
    <w:rsid w:val="02E845D2"/>
    <w:rsid w:val="04DC5D07"/>
    <w:rsid w:val="050B6856"/>
    <w:rsid w:val="0708187F"/>
    <w:rsid w:val="0A1E20A6"/>
    <w:rsid w:val="0A596A08"/>
    <w:rsid w:val="0C28597F"/>
    <w:rsid w:val="0DEF74E9"/>
    <w:rsid w:val="0E7F4BD9"/>
    <w:rsid w:val="0F7A06C2"/>
    <w:rsid w:val="0FC151E5"/>
    <w:rsid w:val="11953E67"/>
    <w:rsid w:val="11BE722A"/>
    <w:rsid w:val="12650CBC"/>
    <w:rsid w:val="127F1866"/>
    <w:rsid w:val="138FC1E9"/>
    <w:rsid w:val="1555358D"/>
    <w:rsid w:val="156D0C34"/>
    <w:rsid w:val="16A62408"/>
    <w:rsid w:val="1A2566F4"/>
    <w:rsid w:val="1A6B5DA4"/>
    <w:rsid w:val="1B087692"/>
    <w:rsid w:val="1C2D3246"/>
    <w:rsid w:val="1E800217"/>
    <w:rsid w:val="1FB78D3F"/>
    <w:rsid w:val="1FF92002"/>
    <w:rsid w:val="20593321"/>
    <w:rsid w:val="2141581D"/>
    <w:rsid w:val="218C4997"/>
    <w:rsid w:val="2356403F"/>
    <w:rsid w:val="23621D43"/>
    <w:rsid w:val="2538541D"/>
    <w:rsid w:val="25DE6EB0"/>
    <w:rsid w:val="26143B06"/>
    <w:rsid w:val="26421153"/>
    <w:rsid w:val="277420AE"/>
    <w:rsid w:val="286C4F60"/>
    <w:rsid w:val="29194CBB"/>
    <w:rsid w:val="2B157704"/>
    <w:rsid w:val="2B5449A3"/>
    <w:rsid w:val="2C1F5370"/>
    <w:rsid w:val="2C975277"/>
    <w:rsid w:val="30B360F4"/>
    <w:rsid w:val="30DA5FB3"/>
    <w:rsid w:val="31BB7257"/>
    <w:rsid w:val="32AC6BA0"/>
    <w:rsid w:val="34132B7B"/>
    <w:rsid w:val="35052B8B"/>
    <w:rsid w:val="37FB42A3"/>
    <w:rsid w:val="386E3E21"/>
    <w:rsid w:val="39756BD2"/>
    <w:rsid w:val="39CE4CE2"/>
    <w:rsid w:val="3AB030D6"/>
    <w:rsid w:val="3B02185C"/>
    <w:rsid w:val="3B783AC3"/>
    <w:rsid w:val="3DA50A98"/>
    <w:rsid w:val="3DDB2309"/>
    <w:rsid w:val="3EAB0813"/>
    <w:rsid w:val="41433130"/>
    <w:rsid w:val="41780576"/>
    <w:rsid w:val="442F19E9"/>
    <w:rsid w:val="4470139D"/>
    <w:rsid w:val="46F6477A"/>
    <w:rsid w:val="476B4739"/>
    <w:rsid w:val="4CCA390C"/>
    <w:rsid w:val="4D7E29F9"/>
    <w:rsid w:val="4E5B4824"/>
    <w:rsid w:val="4E896D65"/>
    <w:rsid w:val="4E9A2882"/>
    <w:rsid w:val="4FFDB970"/>
    <w:rsid w:val="4FFEA2DB"/>
    <w:rsid w:val="525635A3"/>
    <w:rsid w:val="528412BF"/>
    <w:rsid w:val="542F66AC"/>
    <w:rsid w:val="588562C6"/>
    <w:rsid w:val="591E0A43"/>
    <w:rsid w:val="59D52770"/>
    <w:rsid w:val="5B8B43BF"/>
    <w:rsid w:val="5EFED1DF"/>
    <w:rsid w:val="5FD47676"/>
    <w:rsid w:val="6025124B"/>
    <w:rsid w:val="607466A0"/>
    <w:rsid w:val="61975CAA"/>
    <w:rsid w:val="655343CB"/>
    <w:rsid w:val="65896749"/>
    <w:rsid w:val="65D14C99"/>
    <w:rsid w:val="68A015B4"/>
    <w:rsid w:val="69783D56"/>
    <w:rsid w:val="69976E8D"/>
    <w:rsid w:val="69AA28C2"/>
    <w:rsid w:val="6B7632DB"/>
    <w:rsid w:val="6BBF43EC"/>
    <w:rsid w:val="6C7269F6"/>
    <w:rsid w:val="6CE931BD"/>
    <w:rsid w:val="6E866461"/>
    <w:rsid w:val="70810852"/>
    <w:rsid w:val="70D54A2C"/>
    <w:rsid w:val="76B07CC5"/>
    <w:rsid w:val="79F6CB98"/>
    <w:rsid w:val="7A0016B7"/>
    <w:rsid w:val="7B823DB1"/>
    <w:rsid w:val="7BFD67F9"/>
    <w:rsid w:val="7DFF5411"/>
    <w:rsid w:val="7E4D1CC6"/>
    <w:rsid w:val="7E6263E8"/>
    <w:rsid w:val="7E779974"/>
    <w:rsid w:val="7FCFCF45"/>
    <w:rsid w:val="7FD84C6E"/>
    <w:rsid w:val="7FE61D86"/>
    <w:rsid w:val="7FE78FC5"/>
    <w:rsid w:val="7FFBD4F2"/>
    <w:rsid w:val="8F7B93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er"/>
    <w:qFormat/>
    <w:rsid w:val="00365FB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5F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93FA0"/>
    <w:rPr>
      <w:rFonts w:ascii="Calibri" w:hAnsi="Calibri"/>
      <w:sz w:val="18"/>
      <w:szCs w:val="18"/>
    </w:rPr>
  </w:style>
  <w:style w:type="paragraph" w:styleId="Header">
    <w:name w:val="header"/>
    <w:basedOn w:val="Normal"/>
    <w:link w:val="HeaderChar"/>
    <w:uiPriority w:val="99"/>
    <w:rsid w:val="00365F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C93FA0"/>
    <w:rPr>
      <w:rFonts w:ascii="Calibri" w:hAnsi="Calibri"/>
      <w:sz w:val="18"/>
      <w:szCs w:val="18"/>
    </w:rPr>
  </w:style>
  <w:style w:type="paragraph" w:styleId="NormalWeb">
    <w:name w:val="Normal (Web)"/>
    <w:basedOn w:val="Normal"/>
    <w:uiPriority w:val="99"/>
    <w:rsid w:val="00365FB6"/>
    <w:pPr>
      <w:widowControl/>
      <w:spacing w:before="100" w:beforeAutospacing="1" w:after="100" w:afterAutospacing="1"/>
      <w:jc w:val="left"/>
    </w:pPr>
    <w:rPr>
      <w:rFonts w:ascii="宋体" w:hAnsi="宋体" w:cs="宋体"/>
      <w:kern w:val="0"/>
      <w:sz w:val="24"/>
      <w:szCs w:val="22"/>
    </w:rPr>
  </w:style>
  <w:style w:type="character" w:styleId="Strong">
    <w:name w:val="Strong"/>
    <w:basedOn w:val="DefaultParagraphFont"/>
    <w:uiPriority w:val="99"/>
    <w:qFormat/>
    <w:rsid w:val="00365FB6"/>
    <w:rPr>
      <w:rFonts w:cs="Times New Roman"/>
      <w:b/>
    </w:rPr>
  </w:style>
  <w:style w:type="character" w:styleId="Hyperlink">
    <w:name w:val="Hyperlink"/>
    <w:basedOn w:val="DefaultParagraphFont"/>
    <w:uiPriority w:val="99"/>
    <w:rsid w:val="00365FB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ord=%E9%94%80%E5%94%AE%E6%80%BB%E9%87%8F&amp;sa=re_dqa_zy" TargetMode="External"/><Relationship Id="rId3" Type="http://schemas.openxmlformats.org/officeDocument/2006/relationships/settings" Target="settings.xml"/><Relationship Id="rId7" Type="http://schemas.openxmlformats.org/officeDocument/2006/relationships/hyperlink" Target="https://www.baidu.com/s?word=%E4%BE%9B%E5%BA%94%E6%80%BB%E9%87%8F&amp;sa=re_dqa_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3</Pages>
  <Words>211</Words>
  <Characters>1206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cp:lastPrinted>2024-08-08T06:29:00Z</cp:lastPrinted>
  <dcterms:created xsi:type="dcterms:W3CDTF">2014-11-01T12:08:00Z</dcterms:created>
  <dcterms:modified xsi:type="dcterms:W3CDTF">2024-08-08T06:35:00Z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2200B9762C7D4F1D9F802F1E95D1B982</vt:lpwstr>
  </property>
</Properties>
</file>